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خطة الدعم بعد التقويم التشخيصي</w:t>
      </w:r>
    </w:p>
    <w:p>
      <w:pPr>
        <w:pStyle w:val="Subtitle"/>
      </w:pPr>
      <w:r>
        <w:t>نموذج معبأ حسب المهارات والتعثرات | إعداد فريق E-TICE.com</w:t>
      </w:r>
    </w:p>
    <w:p>
      <w:pPr>
        <w:pStyle w:val="Small"/>
      </w:pPr>
      <w:r>
        <w:t>مثال افتراضي بالابتدائي: 30 متعلمًا، منهم 27 بنتائج قابلة للتفسير و3 متغيبين. دورة أولى مقترحة: أسبوعان. قد يتكرر المتعلم في أكثر من مجموعة.</w:t>
      </w:r>
    </w:p>
    <w:p>
      <w:pPr>
        <w:pStyle w:val="Small"/>
      </w:pPr>
      <w:r>
        <w:t>جميع الأعداد والمدد ومعايير النجاح توضيحية، وليست عتبات رسمية عامة. تُكيَّف وفق المستوى وأداة التقويم والتنظيم المعتمد.</w:t>
      </w:r>
    </w:p>
    <w:p>
      <w:pPr>
        <w:pStyle w:val="SkillField"/>
      </w:pPr>
      <w:r>
        <w:rPr>
          <w:b/>
          <w:bCs w:val="1"/>
        </w:rPr>
        <w:t xml:space="preserve">المؤسسة: </w:t>
      </w:r>
      <w:r>
        <w:t>[اسم المؤسسة]     الأستاذ: [الاسم]     المستوى والقسم: [يُملأ]</w:t>
      </w:r>
    </w:p>
    <w:p>
      <w:pPr>
        <w:pStyle w:val="SkillField"/>
      </w:pPr>
      <w:r>
        <w:rPr>
          <w:b/>
          <w:bCs w:val="1"/>
        </w:rPr>
        <w:t xml:space="preserve">فترة التنفيذ: </w:t>
      </w:r>
      <w:r>
        <w:t>[من ... إلى ...]     موعد مراجعة الخطة: [التاريخ]</w:t>
      </w:r>
    </w:p>
    <w:p>
      <w:pPr>
        <w:pStyle w:val="Heading2"/>
      </w:pPr>
      <w:r>
        <w:t>قراءة الكلمات</w:t>
      </w:r>
    </w:p>
    <w:p>
      <w:pPr>
        <w:pStyle w:val="SkillField"/>
      </w:pPr>
      <w:r>
        <w:rPr>
          <w:b/>
          <w:bCs w:val="1"/>
        </w:rPr>
        <w:t xml:space="preserve">المجموعة والدليل القبلي: </w:t>
      </w:r>
      <w:r>
        <w:t>8 متعلمين لم يحققوا المعيار المقترح عند التشخيص؛ تُسجل النتائج الفردية وتاريخها.</w:t>
      </w:r>
    </w:p>
    <w:p>
      <w:pPr>
        <w:pStyle w:val="SkillField"/>
      </w:pPr>
      <w:r>
        <w:rPr>
          <w:b/>
          <w:bCs w:val="1"/>
        </w:rPr>
        <w:t xml:space="preserve">التعثر: </w:t>
      </w:r>
      <w:r>
        <w:t>تعرف الحروف مع صعوبة في دمج الأصوات والمقاطع لقراءة الكلمات.</w:t>
      </w:r>
    </w:p>
    <w:p>
      <w:pPr>
        <w:pStyle w:val="SkillField"/>
      </w:pPr>
      <w:r>
        <w:rPr>
          <w:b/>
          <w:bCs w:val="1"/>
        </w:rPr>
        <w:t xml:space="preserve">النشاط والوسائل: </w:t>
      </w:r>
      <w:r>
        <w:t>نمذجة الدمج، وتركيب كلمات ببطاقات الحروف والمقاطع، ثم قراءة تدريجية باستقلالية.</w:t>
      </w:r>
    </w:p>
    <w:p>
      <w:pPr>
        <w:pStyle w:val="SkillField"/>
      </w:pPr>
      <w:r>
        <w:rPr>
          <w:b/>
          <w:bCs w:val="1"/>
        </w:rPr>
        <w:t xml:space="preserve">مدة التدريب: </w:t>
      </w:r>
      <w:r>
        <w:t>4 حصص × 20 دقيقة = 80 دقيقة.</w:t>
      </w:r>
    </w:p>
    <w:p>
      <w:pPr>
        <w:pStyle w:val="SkillField"/>
      </w:pPr>
      <w:r>
        <w:rPr>
          <w:b/>
          <w:bCs w:val="1"/>
        </w:rPr>
        <w:t xml:space="preserve">الهدف ومؤشر المتابعة: </w:t>
      </w:r>
      <w:r>
        <w:t>قراءة 8 كلمات صحيحة من أصل 10 دون تلميح؛ كلمات جديدة مماثلة في الصعوبة، وتقويم فردي.</w:t>
      </w:r>
    </w:p>
    <w:p>
      <w:pPr>
        <w:pStyle w:val="Heading2"/>
      </w:pPr>
      <w:r>
        <w:t>فهم المقروء</w:t>
      </w:r>
    </w:p>
    <w:p>
      <w:pPr>
        <w:pStyle w:val="SkillField"/>
      </w:pPr>
      <w:r>
        <w:rPr>
          <w:b/>
          <w:bCs w:val="1"/>
        </w:rPr>
        <w:t xml:space="preserve">المجموعة والدليل القبلي: </w:t>
      </w:r>
      <w:r>
        <w:t>6 متعلمين لم يحققوا المعيار المقترح، مع التحقق من أن فك الكلمات لا يعيق المهمة.</w:t>
      </w:r>
    </w:p>
    <w:p>
      <w:pPr>
        <w:pStyle w:val="SkillField"/>
      </w:pPr>
      <w:r>
        <w:rPr>
          <w:b/>
          <w:bCs w:val="1"/>
        </w:rPr>
        <w:t xml:space="preserve">التعثر: </w:t>
      </w:r>
      <w:r>
        <w:t>قراءة النص مع صعوبة تحديد معلومة صريحة مطلوبة.</w:t>
      </w:r>
    </w:p>
    <w:p>
      <w:pPr>
        <w:pStyle w:val="SkillField"/>
      </w:pPr>
      <w:r>
        <w:rPr>
          <w:b/>
          <w:bCs w:val="1"/>
        </w:rPr>
        <w:t xml:space="preserve">النشاط والوسائل: </w:t>
      </w:r>
      <w:r>
        <w:t>تحديد كلمة السؤال والجملة الدالة، ثم صياغة الجواب؛ نصوص قصيرة جديدة للتطبيق الفردي.</w:t>
      </w:r>
    </w:p>
    <w:p>
      <w:pPr>
        <w:pStyle w:val="SkillField"/>
      </w:pPr>
      <w:r>
        <w:rPr>
          <w:b/>
          <w:bCs w:val="1"/>
        </w:rPr>
        <w:t xml:space="preserve">مدة التدريب: </w:t>
      </w:r>
      <w:r>
        <w:t>3 حصص × 20 دقيقة = 60 دقيقة.</w:t>
      </w:r>
    </w:p>
    <w:p>
      <w:pPr>
        <w:pStyle w:val="SkillField"/>
      </w:pPr>
      <w:r>
        <w:rPr>
          <w:b/>
          <w:bCs w:val="1"/>
        </w:rPr>
        <w:t xml:space="preserve">الهدف ومؤشر المتابعة: </w:t>
      </w:r>
      <w:r>
        <w:t>الإجابة المستقلة عن 4 أسئلة من أصل 5 حول معلومات صريحة في نص جديد مماثل.</w:t>
      </w:r>
    </w:p>
    <w:p>
      <w:r>
        <w:br w:type="page"/>
      </w:r>
    </w:p>
    <w:p>
      <w:pPr>
        <w:pStyle w:val="Title"/>
      </w:pPr>
      <w:r>
        <w:t>الدعم في الرياضيات</w:t>
      </w:r>
    </w:p>
    <w:p>
      <w:pPr>
        <w:pStyle w:val="Subtitle"/>
      </w:pPr>
      <w:r>
        <w:t>استكمال النموذج المعبأ | عالج المتطلب السابق قبل المهارة التي تتوقف عليه.</w:t>
      </w:r>
    </w:p>
    <w:p>
      <w:pPr>
        <w:pStyle w:val="Heading2"/>
      </w:pPr>
      <w:r>
        <w:t>القيمة المكانية للأرقام</w:t>
      </w:r>
    </w:p>
    <w:p>
      <w:pPr>
        <w:pStyle w:val="SkillField"/>
      </w:pPr>
      <w:r>
        <w:rPr>
          <w:b/>
          <w:bCs w:val="1"/>
        </w:rPr>
        <w:t xml:space="preserve">المجموعة والدليل القبلي: </w:t>
      </w:r>
      <w:r>
        <w:t>7 متعلمين لم يحققوا المعيار المقترح؛ يحدد المجال العددي حسب التعلمات السابقة.</w:t>
      </w:r>
    </w:p>
    <w:p>
      <w:pPr>
        <w:pStyle w:val="SkillField"/>
      </w:pPr>
      <w:r>
        <w:rPr>
          <w:b/>
          <w:bCs w:val="1"/>
        </w:rPr>
        <w:t xml:space="preserve">التعثر: </w:t>
      </w:r>
      <w:r>
        <w:t>الخلط بين الآحاد والعشرات عند التمثيل أو التفكيك.</w:t>
      </w:r>
    </w:p>
    <w:p>
      <w:pPr>
        <w:pStyle w:val="SkillField"/>
      </w:pPr>
      <w:r>
        <w:rPr>
          <w:b/>
          <w:bCs w:val="1"/>
        </w:rPr>
        <w:t xml:space="preserve">النشاط والوسائل: </w:t>
      </w:r>
      <w:r>
        <w:t>تمثيل أعداد بقطع العد والحزم، ثم استعمال جدول المنازل والكتابة والتفكيك. مثال: تمثيل 34 بثلاث عشرات وأربع وحدات.</w:t>
      </w:r>
    </w:p>
    <w:p>
      <w:pPr>
        <w:pStyle w:val="SkillField"/>
      </w:pPr>
      <w:r>
        <w:rPr>
          <w:b/>
          <w:bCs w:val="1"/>
        </w:rPr>
        <w:t xml:space="preserve">مدة التدريب: </w:t>
      </w:r>
      <w:r>
        <w:t>3 حصص × 20 دقيقة = 60 دقيقة.</w:t>
      </w:r>
    </w:p>
    <w:p>
      <w:pPr>
        <w:pStyle w:val="SkillField"/>
      </w:pPr>
      <w:r>
        <w:rPr>
          <w:b/>
          <w:bCs w:val="1"/>
        </w:rPr>
        <w:t xml:space="preserve">الهدف ومؤشر المتابعة: </w:t>
      </w:r>
      <w:r>
        <w:t>تمثيل وتفكيك 4 أعداد من أصل 5 بشكل صحيح دون مساعدة مباشرة.</w:t>
      </w:r>
    </w:p>
    <w:p>
      <w:pPr>
        <w:pStyle w:val="Heading2"/>
      </w:pPr>
      <w:r>
        <w:t>الطرح بإعادة التجميع</w:t>
      </w:r>
    </w:p>
    <w:p>
      <w:pPr>
        <w:pStyle w:val="SkillField"/>
      </w:pPr>
      <w:r>
        <w:rPr>
          <w:b/>
          <w:bCs w:val="1"/>
        </w:rPr>
        <w:t xml:space="preserve">المجموعة والدليل القبلي: </w:t>
      </w:r>
      <w:r>
        <w:t>6 متعلمين لم يحققوا المعيار المقترح؛ يُتحقق أولًا من فهم القيمة المكانية.</w:t>
      </w:r>
    </w:p>
    <w:p>
      <w:pPr>
        <w:pStyle w:val="SkillField"/>
      </w:pPr>
      <w:r>
        <w:rPr>
          <w:b/>
          <w:bCs w:val="1"/>
        </w:rPr>
        <w:t xml:space="preserve">التعثر: </w:t>
      </w:r>
      <w:r>
        <w:t>طرح الرقم الأصغر من الأكبر في كل منزلة دون مراعاة ترتيب العددين.</w:t>
      </w:r>
    </w:p>
    <w:p>
      <w:pPr>
        <w:pStyle w:val="SkillField"/>
      </w:pPr>
      <w:r>
        <w:rPr>
          <w:b/>
          <w:bCs w:val="1"/>
        </w:rPr>
        <w:t xml:space="preserve">النشاط والوسائل: </w:t>
      </w:r>
      <w:r>
        <w:t>مبادلة عشرة بعشر وحدات بالمحسوس، وربطها بالكتابة العمودية، ثم تدريب متدرج. مثال: طرح 15 من 32 ينتج 17.</w:t>
      </w:r>
    </w:p>
    <w:p>
      <w:pPr>
        <w:pStyle w:val="SkillField"/>
      </w:pPr>
      <w:r>
        <w:rPr>
          <w:b/>
          <w:bCs w:val="1"/>
        </w:rPr>
        <w:t xml:space="preserve">مدة التدريب: </w:t>
      </w:r>
      <w:r>
        <w:t>4 حصص × 20 دقيقة = 80 دقيقة.</w:t>
      </w:r>
    </w:p>
    <w:p>
      <w:pPr>
        <w:pStyle w:val="SkillField"/>
      </w:pPr>
      <w:r>
        <w:rPr>
          <w:b/>
          <w:bCs w:val="1"/>
        </w:rPr>
        <w:t xml:space="preserve">الهدف ومؤشر المتابعة: </w:t>
      </w:r>
      <w:r>
        <w:t>إنجاز 4 عمليات صحيحة من أصل 5 تتطلب إعادة التجميع باستقلالية، مع تتبع خطوات الحل.</w:t>
      </w:r>
    </w:p>
    <w:p>
      <w:pPr>
        <w:pStyle w:val="Heading2"/>
      </w:pPr>
      <w:r>
        <w:t>البرمجة وإعادة التقويم</w:t>
      </w:r>
    </w:p>
    <w:p>
      <w:pPr>
        <w:pStyle w:val="Small"/>
      </w:pPr>
      <w:r>
        <w:t>مجموع التدريب للمجموعات الأربع: 14 حصة، أي 280 دقيقة. يُخصص وقت إضافي مناسب لإعادة التقويم الفردي. تُعدَّل الدورة حسب الزمن المتاح؛ لا تبرمج المتعلم في مجموعتين متزامنتين.</w:t>
      </w:r>
    </w:p>
    <w:p>
      <w:pPr>
        <w:pStyle w:val="Small"/>
      </w:pPr>
      <w:r>
        <w:t>حصة تدريبية مقترحة: 3 دقائق استرجاع، 5 دقائق نمذجة، 8 دقائق ممارسة موجهة، و4 دقائق محاولة مستقلة قصيرة.</w:t>
      </w:r>
    </w:p>
    <w:p>
      <w:pPr>
        <w:pStyle w:val="Small"/>
      </w:pPr>
      <w:r>
        <w:t>استعمل مهمة جديدة مماثلة في الصعوبة، وسجل النتيجة والمساعدة والحضور. القرار: انتقال مع تحقق لاحق، أو استمرار مع تعديل محدد، أو استكمال التشخيص. الغياب عن المتابعة يستدعي موعدًا بديلًا.</w:t>
      </w:r>
    </w:p>
    <w:p>
      <w:r>
        <w:br w:type="page"/>
      </w:r>
    </w:p>
    <w:p>
      <w:pPr>
        <w:pStyle w:val="Title"/>
      </w:pPr>
      <w:r>
        <w:t>بطاقة مهارة قابلة للتعبئة</w:t>
      </w:r>
    </w:p>
    <w:p>
      <w:pPr>
        <w:pStyle w:val="Subtitle"/>
      </w:pPr>
      <w:r>
        <w:t>كرر هذه الصفحة لكل مهارة ذات أولوية، وأضف صفوف المتابعة حسب الحاجة.</w:t>
      </w:r>
    </w:p>
    <w:p>
      <w:pPr>
        <w:pStyle w:val="FormField"/>
      </w:pPr>
      <w:r>
        <w:rPr>
          <w:b/>
          <w:bCs w:val="1"/>
        </w:rPr>
        <w:t xml:space="preserve">المؤسسة والأستاذ: </w:t>
      </w:r>
      <w:r>
        <w:t>[اسم المؤسسة] / [اسم الأستاذ]     المستوى والقسم: [يُملأ]</w:t>
      </w:r>
    </w:p>
    <w:p>
      <w:pPr>
        <w:pStyle w:val="FormField"/>
      </w:pPr>
      <w:r>
        <w:rPr>
          <w:b/>
          <w:bCs w:val="1"/>
        </w:rPr>
        <w:t xml:space="preserve">الفترة: </w:t>
      </w:r>
      <w:r>
        <w:t>[البداية والنهاية]     المادة والمهارة: [تُحدد]</w:t>
      </w:r>
    </w:p>
    <w:p>
      <w:pPr>
        <w:pStyle w:val="FormField"/>
      </w:pPr>
      <w:r>
        <w:rPr>
          <w:b/>
          <w:bCs w:val="1"/>
        </w:rPr>
        <w:t xml:space="preserve">الدليل التشخيصي: </w:t>
      </w:r>
      <w:r>
        <w:t>[تاريخ المهمة، وصف الخطأ، والنتيجة القبلية]</w:t>
      </w:r>
    </w:p>
    <w:p>
      <w:pPr>
        <w:pStyle w:val="FormField"/>
      </w:pPr>
      <w:r>
        <w:rPr>
          <w:b/>
          <w:bCs w:val="1"/>
        </w:rPr>
        <w:t xml:space="preserve">المجموعة: </w:t>
      </w:r>
      <w:r>
        <w:t>[رموز المتعلمين وعددهم، والغياب أو النتائج الناقصة]</w:t>
      </w:r>
    </w:p>
    <w:p>
      <w:pPr>
        <w:pStyle w:val="FormField"/>
      </w:pPr>
      <w:r>
        <w:rPr>
          <w:b/>
          <w:bCs w:val="1"/>
        </w:rPr>
        <w:t xml:space="preserve">الهدف ومعيار النجاح: </w:t>
      </w:r>
      <w:r>
        <w:t>[الأداء المنتظر، عدد المحاولات، شروط الإنجاز]</w:t>
      </w:r>
    </w:p>
    <w:p>
      <w:pPr>
        <w:pStyle w:val="FormField"/>
      </w:pPr>
      <w:r>
        <w:rPr>
          <w:b/>
          <w:bCs w:val="1"/>
        </w:rPr>
        <w:t xml:space="preserve">النشاط والوسائل: </w:t>
      </w:r>
      <w:r>
        <w:t>[خطوات المعالجة والوسائل]</w:t>
      </w:r>
    </w:p>
    <w:p>
      <w:pPr>
        <w:pStyle w:val="FormField"/>
      </w:pPr>
      <w:r>
        <w:rPr>
          <w:b/>
          <w:bCs w:val="1"/>
        </w:rPr>
        <w:t xml:space="preserve">المدة والبرمجة: </w:t>
      </w:r>
      <w:r>
        <w:t>[عدد الحصص × مدة الحصة، والمواعيد الفعلية]</w:t>
      </w:r>
    </w:p>
    <w:p>
      <w:pPr>
        <w:pStyle w:val="FormField"/>
      </w:pPr>
      <w:r>
        <w:rPr>
          <w:b/>
          <w:bCs w:val="1"/>
        </w:rPr>
        <w:t xml:space="preserve">المؤشر وإعادة التقويم: </w:t>
      </w:r>
      <w:r>
        <w:t>[ما سيُقاس، المهمة، تاريخها، وشروط المساعدة]</w:t>
      </w:r>
    </w:p>
    <w:p>
      <w:pPr>
        <w:pStyle w:val="FormField"/>
      </w:pPr>
      <w:r>
        <w:rPr>
          <w:b/>
          <w:bCs w:val="1"/>
        </w:rPr>
        <w:t xml:space="preserve">القرار والتتبع: </w:t>
      </w:r>
      <w:r>
        <w:t>[الخطوة التالية، التعديل المطلوب، وموعد التحقق]</w:t>
      </w:r>
    </w:p>
    <w:p>
      <w:pPr>
        <w:pStyle w:val="Heading2"/>
      </w:pPr>
      <w:r>
        <w:t>سجل المتابعة الفردية</w:t>
      </w:r>
    </w:p>
    <w:tbl>
      <w:tblPr>
        <w:tblW w:type="dxa" w:w="9889"/>
        <w:jc w:val="right"/>
        <w:tblLayout w:type="fixed"/>
        <w:tblLook w:firstColumn="1" w:firstRow="1" w:lastColumn="0" w:lastRow="0" w:noHBand="0" w:noVBand="1" w:val="04A0"/>
        <w:tblInd w:w="120" w:type="dxa"/>
        <w:bidiVisual w:val="1"/>
        <w:tblCellMar>
          <w:top w:w="80" w:type="dxa"/>
          <w:bottom w:w="80" w:type="dxa"/>
          <w:start w:w="120" w:type="dxa"/>
          <w:end w:w="120" w:type="dxa"/>
        </w:tblCellMar>
        <w:tblBorders>
          <w:top w:val="single" w:sz="4" w:color="C3CDD5"/>
          <w:left w:val="single" w:sz="4" w:color="C3CDD5"/>
          <w:bottom w:val="single" w:sz="4" w:color="C3CDD5"/>
          <w:right w:val="single" w:sz="4" w:color="C3CDD5"/>
          <w:insideH w:val="single" w:sz="4" w:color="C3CDD5"/>
          <w:insideV w:val="single" w:sz="4" w:color="C3CDD5"/>
        </w:tblBorders>
      </w:tblPr>
      <w:tblGrid>
        <w:gridCol w:w="1000"/>
        <w:gridCol w:w="1600"/>
        <w:gridCol w:w="1300"/>
        <w:gridCol w:w="1600"/>
        <w:gridCol w:w="1800"/>
        <w:gridCol w:w="2589"/>
      </w:tblGrid>
      <w:tr>
        <w:trPr>
          <w:cantSplit w:val="1"/>
          <w:tblHeader w:val="1"/>
        </w:trPr>
        <w:tc>
          <w:tcPr>
            <w:tcW w:type="dxa" w:w="1000"/>
            <w:vAlign w:val="center"/>
            <w:shd w:fill="E8EEF5"/>
          </w:tcPr>
          <w:p>
            <w:pPr>
              <w:pStyle w:val="TableText"/>
            </w:pPr>
            <w:r>
              <w:rPr>
                <w:b/>
                <w:bCs w:val="1"/>
              </w:rPr>
              <w:t>رمز المتعلم</w:t>
            </w:r>
          </w:p>
        </w:tc>
        <w:tc>
          <w:tcPr>
            <w:tcW w:type="dxa" w:w="1600"/>
            <w:vAlign w:val="center"/>
            <w:shd w:fill="E8EEF5"/>
          </w:tcPr>
          <w:p>
            <w:pPr>
              <w:pStyle w:val="TableText"/>
            </w:pPr>
            <w:r>
              <w:rPr>
                <w:b/>
                <w:bCs w:val="1"/>
              </w:rPr>
              <w:t>القبلي وتاريخه</w:t>
            </w:r>
          </w:p>
        </w:tc>
        <w:tc>
          <w:tcPr>
            <w:tcW w:type="dxa" w:w="1300"/>
            <w:vAlign w:val="center"/>
            <w:shd w:fill="E8EEF5"/>
          </w:tcPr>
          <w:p>
            <w:pPr>
              <w:pStyle w:val="TableText"/>
            </w:pPr>
            <w:r>
              <w:rPr>
                <w:b/>
                <w:bCs w:val="1"/>
              </w:rPr>
              <w:t>الحصص المنجزة</w:t>
            </w:r>
          </w:p>
        </w:tc>
        <w:tc>
          <w:tcPr>
            <w:tcW w:type="dxa" w:w="1600"/>
            <w:vAlign w:val="center"/>
            <w:shd w:fill="E8EEF5"/>
          </w:tcPr>
          <w:p>
            <w:pPr>
              <w:pStyle w:val="TableText"/>
            </w:pPr>
            <w:r>
              <w:rPr>
                <w:b/>
                <w:bCs w:val="1"/>
              </w:rPr>
              <w:t>البعدي وتاريخه</w:t>
            </w:r>
          </w:p>
        </w:tc>
        <w:tc>
          <w:tcPr>
            <w:tcW w:type="dxa" w:w="1800"/>
            <w:vAlign w:val="center"/>
            <w:shd w:fill="E8EEF5"/>
          </w:tcPr>
          <w:p>
            <w:pPr>
              <w:pStyle w:val="TableText"/>
            </w:pPr>
            <w:r>
              <w:rPr>
                <w:b/>
                <w:bCs w:val="1"/>
              </w:rPr>
              <w:t>المساعدة / الغياب</w:t>
            </w:r>
          </w:p>
        </w:tc>
        <w:tc>
          <w:tcPr>
            <w:tcW w:type="dxa" w:w="2589"/>
            <w:vAlign w:val="center"/>
            <w:shd w:fill="E8EEF5"/>
          </w:tcPr>
          <w:p>
            <w:pPr>
              <w:pStyle w:val="TableText"/>
            </w:pPr>
            <w:r>
              <w:rPr>
                <w:b/>
                <w:bCs w:val="1"/>
              </w:rPr>
              <w:t>القرار والموعد التالي</w:t>
            </w:r>
          </w:p>
        </w:tc>
      </w:tr>
      <w:tr>
        <w:trPr>
          <w:cantSplit w:val="1"/>
          <w:trHeight w:val="440" w:hRule="atLeast"/>
        </w:trPr>
        <w:tc>
          <w:tcPr>
            <w:tcW w:type="dxa" w:w="10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6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3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6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8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2589"/>
            <w:vAlign w:val="center"/>
          </w:tcPr>
          <w:p>
            <w:pPr>
              <w:pStyle w:val="TableText"/>
            </w:pPr>
            <w:r/>
          </w:p>
        </w:tc>
      </w:tr>
      <w:tr>
        <w:trPr>
          <w:cantSplit w:val="1"/>
          <w:trHeight w:val="440" w:hRule="atLeast"/>
        </w:trPr>
        <w:tc>
          <w:tcPr>
            <w:tcW w:type="dxa" w:w="10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6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3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6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8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2589"/>
            <w:vAlign w:val="center"/>
          </w:tcPr>
          <w:p>
            <w:pPr>
              <w:pStyle w:val="TableText"/>
            </w:pPr>
            <w:r/>
          </w:p>
        </w:tc>
      </w:tr>
      <w:tr>
        <w:trPr>
          <w:cantSplit w:val="1"/>
          <w:trHeight w:val="440" w:hRule="atLeast"/>
        </w:trPr>
        <w:tc>
          <w:tcPr>
            <w:tcW w:type="dxa" w:w="10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6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3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6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8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2589"/>
            <w:vAlign w:val="center"/>
          </w:tcPr>
          <w:p>
            <w:pPr>
              <w:pStyle w:val="TableText"/>
            </w:pPr>
            <w:r/>
          </w:p>
        </w:tc>
      </w:tr>
      <w:tr>
        <w:trPr>
          <w:cantSplit w:val="1"/>
          <w:trHeight w:val="440" w:hRule="atLeast"/>
        </w:trPr>
        <w:tc>
          <w:tcPr>
            <w:tcW w:type="dxa" w:w="10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6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3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6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8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2589"/>
            <w:vAlign w:val="center"/>
          </w:tcPr>
          <w:p>
            <w:pPr>
              <w:pStyle w:val="TableText"/>
            </w:pPr>
            <w:r/>
          </w:p>
        </w:tc>
      </w:tr>
      <w:tr>
        <w:trPr>
          <w:cantSplit w:val="1"/>
          <w:trHeight w:val="440" w:hRule="atLeast"/>
        </w:trPr>
        <w:tc>
          <w:tcPr>
            <w:tcW w:type="dxa" w:w="10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6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3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6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8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2589"/>
            <w:vAlign w:val="center"/>
          </w:tcPr>
          <w:p>
            <w:pPr>
              <w:pStyle w:val="TableText"/>
            </w:pPr>
            <w:r/>
          </w:p>
        </w:tc>
      </w:tr>
      <w:tr>
        <w:trPr>
          <w:cantSplit w:val="1"/>
          <w:trHeight w:val="440" w:hRule="atLeast"/>
        </w:trPr>
        <w:tc>
          <w:tcPr>
            <w:tcW w:type="dxa" w:w="10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6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3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6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1800"/>
            <w:vAlign w:val="center"/>
          </w:tcPr>
          <w:p>
            <w:pPr>
              <w:pStyle w:val="TableText"/>
            </w:pPr>
            <w:r/>
          </w:p>
        </w:tc>
        <w:tc>
          <w:tcPr>
            <w:tcW w:type="dxa" w:w="2589"/>
            <w:vAlign w:val="center"/>
          </w:tcPr>
          <w:p>
            <w:pPr>
              <w:pStyle w:val="TableText"/>
            </w:pPr>
            <w:r/>
          </w:p>
        </w:tc>
      </w:tr>
    </w:tbl>
    <w:p>
      <w:pPr>
        <w:pStyle w:val="Small"/>
      </w:pPr>
      <w:r>
        <w:t>سجل نتيجة الفرد وشروط إنجازه. استعمل رموزًا في النسخ المتداولة، واحفظ الربط بالأسماء في سجلك المهني.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008" w:bottom="1008" w:left="1008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jc w:val="center"/>
    </w:pPr>
    <w:r>
      <w:t xml:space="preserve">E-TICE.com  |  نموذج قابل للتعديل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t>E-TICE.com  |  وثائق الدعم التربوي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  <w:jc w:val="start"/>
      <w:bidi w:val="1"/>
    </w:pPr>
    <w:rPr>
      <w:rFonts w:ascii="DejaVu Sans" w:hAnsi="DejaVu Sans" w:cs="DejaVu Sans"/>
      <w:b w:val="0"/>
      <w:i w:val="0"/>
      <w:color w:val="18364C"/>
      <w:sz w:val="21"/>
      <w:szCs w:val="21"/>
      <w:rtl w:val="1"/>
      <w:iCs w:val="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jc w:val="start"/>
      <w:outlineLvl w:val="0"/>
      <w:bidi w:val="1"/>
    </w:pPr>
    <w:rPr>
      <w:rFonts w:asciiTheme="majorHAnsi" w:eastAsiaTheme="majorEastAsia" w:hAnsiTheme="majorHAnsi" w:cstheme="majorBidi" w:ascii="DejaVu Sans" w:hAnsi="DejaVu Sans" w:cs="DejaVu Sans"/>
      <w:b/>
      <w:bCs/>
      <w:i w:val="0"/>
      <w:color w:val="245A7A"/>
      <w:sz w:val="32"/>
      <w:szCs w:val="28"/>
      <w:szCs w:val="32"/>
      <w:rtl w:val="1"/>
      <w:iCs w:val="0"/>
      <w:bCs w:val="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jc w:val="start"/>
      <w:outlineLvl w:val="1"/>
      <w:bidi w:val="1"/>
    </w:pPr>
    <w:rPr>
      <w:rFonts w:asciiTheme="majorHAnsi" w:eastAsiaTheme="majorEastAsia" w:hAnsiTheme="majorHAnsi" w:cstheme="majorBidi" w:ascii="DejaVu Sans" w:hAnsi="DejaVu Sans" w:cs="DejaVu Sans"/>
      <w:b/>
      <w:bCs/>
      <w:i w:val="0"/>
      <w:color w:val="245A7A"/>
      <w:sz w:val="26"/>
      <w:szCs w:val="26"/>
      <w:szCs w:val="26"/>
      <w:rtl w:val="1"/>
      <w:iCs w:val="0"/>
      <w:bCs w:val="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jc w:val="start"/>
      <w:outlineLvl w:val="2"/>
      <w:bidi w:val="1"/>
    </w:pPr>
    <w:rPr>
      <w:rFonts w:asciiTheme="majorHAnsi" w:eastAsiaTheme="majorEastAsia" w:hAnsiTheme="majorHAnsi" w:cstheme="majorBidi" w:ascii="DejaVu Sans" w:hAnsi="DejaVu Sans" w:cs="DejaVu Sans"/>
      <w:b/>
      <w:bCs/>
      <w:i w:val="0"/>
      <w:color w:val="245A7A"/>
      <w:sz w:val="24"/>
      <w:szCs w:val="24"/>
      <w:rtl w:val="1"/>
      <w:iCs w:val="0"/>
      <w:bCs w:val="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83" w:lineRule="auto" w:before="0"/>
      <w:contextualSpacing/>
      <w:jc w:val="start"/>
      <w:bidi w:val="1"/>
    </w:pPr>
    <w:rPr>
      <w:rFonts w:asciiTheme="majorHAnsi" w:eastAsiaTheme="majorEastAsia" w:hAnsiTheme="majorHAnsi" w:cstheme="majorBidi" w:ascii="DejaVu Sans" w:hAnsi="DejaVu Sans" w:cs="DejaVu Sans"/>
      <w:b/>
      <w:i w:val="0"/>
      <w:color w:val="245A7A"/>
      <w:spacing w:val="5"/>
      <w:kern w:val="28"/>
      <w:sz w:val="42"/>
      <w:szCs w:val="52"/>
      <w:szCs w:val="42"/>
      <w:rtl w:val="1"/>
      <w:iCs w:val="0"/>
      <w:bCs w:val="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160" w:line="300" w:lineRule="auto"/>
      <w:jc w:val="start"/>
      <w:bidi w:val="1"/>
    </w:pPr>
    <w:rPr>
      <w:rFonts w:asciiTheme="majorHAnsi" w:eastAsiaTheme="majorEastAsia" w:hAnsiTheme="majorHAnsi" w:cstheme="majorBidi" w:ascii="DejaVu Sans" w:hAnsi="DejaVu Sans" w:cs="DejaVu Sans"/>
      <w:b w:val="0"/>
      <w:i w:val="0"/>
      <w:iCs/>
      <w:color w:val="5B6570"/>
      <w:spacing w:val="15"/>
      <w:sz w:val="22"/>
      <w:szCs w:val="24"/>
      <w:szCs w:val="22"/>
      <w:rtl w:val="1"/>
      <w:i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pPr>
      <w:spacing w:before="0" w:after="100" w:line="288" w:lineRule="auto"/>
      <w:jc w:val="start"/>
      <w:bidi w:val="1"/>
    </w:pPr>
    <w:rPr>
      <w:rFonts w:ascii="DejaVu Sans" w:hAnsi="DejaVu Sans" w:cs="DejaVu Sans"/>
      <w:b w:val="0"/>
      <w:i w:val="0"/>
      <w:color w:val="5B6570"/>
      <w:sz w:val="18"/>
      <w:szCs w:val="18"/>
      <w:rtl w:val="1"/>
      <w:iCs w:val="0"/>
    </w:rPr>
  </w:style>
  <w:style w:type="paragraph" w:customStyle="1" w:styleId="SkillField">
    <w:name w:val="Skill Field"/>
    <w:pPr>
      <w:spacing w:before="0" w:after="80" w:line="288" w:lineRule="auto"/>
      <w:jc w:val="start"/>
      <w:bidi w:val="1"/>
    </w:pPr>
    <w:rPr>
      <w:rFonts w:ascii="DejaVu Sans" w:hAnsi="DejaVu Sans" w:cs="DejaVu Sans"/>
      <w:b w:val="0"/>
      <w:i w:val="0"/>
      <w:color w:val="18364C"/>
      <w:sz w:val="21"/>
      <w:szCs w:val="21"/>
      <w:rtl w:val="1"/>
      <w:iCs w:val="0"/>
    </w:rPr>
  </w:style>
  <w:style w:type="paragraph" w:customStyle="1" w:styleId="FormField">
    <w:name w:val="Form Field"/>
    <w:pPr>
      <w:spacing w:before="0" w:after="140" w:line="300" w:lineRule="auto"/>
      <w:jc w:val="start"/>
      <w:bidi w:val="1"/>
    </w:pPr>
    <w:rPr>
      <w:rFonts w:ascii="DejaVu Sans" w:hAnsi="DejaVu Sans" w:cs="DejaVu Sans"/>
      <w:b w:val="0"/>
      <w:i w:val="0"/>
      <w:color w:val="18364C"/>
      <w:sz w:val="21"/>
      <w:szCs w:val="21"/>
      <w:rtl w:val="1"/>
      <w:iCs w:val="0"/>
    </w:rPr>
  </w:style>
  <w:style w:type="paragraph" w:customStyle="1" w:styleId="TableText">
    <w:name w:val="Table Text"/>
    <w:pPr>
      <w:spacing w:before="0" w:after="60" w:line="288" w:lineRule="auto"/>
      <w:jc w:val="start"/>
      <w:bidi w:val="1"/>
    </w:pPr>
    <w:rPr>
      <w:rFonts w:ascii="DejaVu Sans" w:hAnsi="DejaVu Sans" w:cs="DejaVu Sans"/>
      <w:b w:val="0"/>
      <w:i w:val="0"/>
      <w:color w:val="18364C"/>
      <w:sz w:val="18"/>
      <w:szCs w:val="18"/>
      <w:rtl w:val="1"/>
      <w:iCs w:val="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خطة الدعم بعد التقويم التشخيصي: نموذج معبأ وقابل للتعديل</dc:title>
  <dc:subject>مهارات وتعثرات وأنشطة ومدد ومؤشرات متابعة</dc:subject>
  <dc:creator>E-TICE.com</dc:creator>
  <cp:keywords>خطة الدعم بعد التقويم التشخيصي، E-TICE</cp:keywords>
  <dc:description>نموذج أصلي توضيحي؛ البيانات والمدد والمعايير افتراضية وقابلة للتكييف.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